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F1C829" w14:textId="47EDB7CE" w:rsidR="005E43A7" w:rsidRPr="00CA6B72" w:rsidRDefault="005E43A7" w:rsidP="005E43A7">
      <w:pPr>
        <w:jc w:val="left"/>
        <w:rPr>
          <w:rFonts w:ascii="Arial" w:eastAsia="MS Mincho" w:hAnsi="Arial"/>
          <w:b/>
          <w:sz w:val="24"/>
          <w:szCs w:val="24"/>
          <w:lang w:eastAsia="x-none"/>
        </w:rPr>
      </w:pPr>
      <w:r w:rsidRPr="00CA6B72">
        <w:rPr>
          <w:rFonts w:ascii="Arial" w:eastAsia="MS Mincho" w:hAnsi="Arial"/>
          <w:b/>
          <w:sz w:val="24"/>
          <w:szCs w:val="24"/>
          <w:lang w:eastAsia="x-none"/>
        </w:rPr>
        <w:t>3GPP TSG RAN WG2 Meeting #10</w:t>
      </w:r>
      <w:r w:rsidR="007D0B7D">
        <w:rPr>
          <w:rFonts w:ascii="Arial" w:eastAsia="MS Mincho" w:hAnsi="Arial"/>
          <w:b/>
          <w:sz w:val="24"/>
          <w:szCs w:val="24"/>
          <w:lang w:eastAsia="x-none"/>
        </w:rPr>
        <w:t>8</w:t>
      </w:r>
      <w:r w:rsidR="00BC10D3" w:rsidRPr="00CA6B72">
        <w:rPr>
          <w:rFonts w:ascii="Arial" w:eastAsia="MS Mincho" w:hAnsi="Arial"/>
          <w:b/>
          <w:sz w:val="24"/>
          <w:szCs w:val="24"/>
          <w:lang w:eastAsia="x-none"/>
        </w:rPr>
        <w:t xml:space="preserve">           </w:t>
      </w:r>
      <w:r w:rsidRPr="00CA6B72">
        <w:rPr>
          <w:rFonts w:ascii="Arial" w:eastAsia="MS Mincho" w:hAnsi="Arial"/>
          <w:b/>
          <w:sz w:val="24"/>
          <w:szCs w:val="24"/>
          <w:lang w:eastAsia="x-none"/>
        </w:rPr>
        <w:t xml:space="preserve">      </w:t>
      </w:r>
      <w:r w:rsidRPr="00CA6B72">
        <w:rPr>
          <w:rFonts w:ascii="Arial" w:eastAsia="MS Mincho" w:hAnsi="Arial"/>
          <w:b/>
          <w:sz w:val="24"/>
          <w:szCs w:val="24"/>
          <w:lang w:eastAsia="x-none"/>
        </w:rPr>
        <w:tab/>
        <w:t xml:space="preserve">    </w:t>
      </w:r>
      <w:r w:rsidRPr="00CA6B72">
        <w:rPr>
          <w:rFonts w:ascii="Arial" w:eastAsia="MS Mincho" w:hAnsi="Arial"/>
          <w:b/>
          <w:sz w:val="24"/>
          <w:szCs w:val="24"/>
          <w:lang w:eastAsia="x-none"/>
        </w:rPr>
        <w:tab/>
        <w:t xml:space="preserve">     </w:t>
      </w:r>
      <w:r w:rsidR="00BC10D3" w:rsidRPr="00CA6B72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BC10D3" w:rsidRPr="00CA6B72">
        <w:rPr>
          <w:rFonts w:ascii="Arial" w:eastAsia="MS Mincho" w:hAnsi="Arial"/>
          <w:b/>
          <w:sz w:val="24"/>
          <w:szCs w:val="24"/>
          <w:lang w:eastAsia="x-none"/>
        </w:rPr>
        <w:tab/>
      </w:r>
      <w:r w:rsidRPr="00CA6B72">
        <w:rPr>
          <w:rFonts w:ascii="Arial" w:eastAsia="MS Mincho" w:hAnsi="Arial"/>
          <w:b/>
          <w:sz w:val="24"/>
          <w:szCs w:val="24"/>
          <w:lang w:eastAsia="x-none"/>
        </w:rPr>
        <w:t xml:space="preserve"> R2-</w:t>
      </w:r>
      <w:r w:rsidR="00951354" w:rsidRPr="00CA6B72">
        <w:rPr>
          <w:rFonts w:ascii="Arial" w:eastAsia="MS Mincho" w:hAnsi="Arial"/>
          <w:b/>
          <w:sz w:val="24"/>
          <w:szCs w:val="24"/>
          <w:lang w:eastAsia="x-none"/>
        </w:rPr>
        <w:t>19</w:t>
      </w:r>
      <w:r w:rsidR="00951354">
        <w:rPr>
          <w:rFonts w:ascii="Arial" w:eastAsia="MS Mincho" w:hAnsi="Arial"/>
          <w:b/>
          <w:sz w:val="24"/>
          <w:szCs w:val="24"/>
          <w:lang w:eastAsia="x-none"/>
        </w:rPr>
        <w:t>14736</w:t>
      </w:r>
    </w:p>
    <w:p w14:paraId="2E989C2C" w14:textId="2AD8E20F" w:rsidR="005E43A7" w:rsidRDefault="007D0B7D" w:rsidP="005E43A7">
      <w:pPr>
        <w:pStyle w:val="3GPPHeader"/>
        <w:jc w:val="right"/>
        <w:rPr>
          <w:rFonts w:eastAsia="MS Mincho"/>
          <w:szCs w:val="24"/>
          <w:lang w:eastAsia="x-none"/>
        </w:rPr>
      </w:pPr>
      <w:r>
        <w:rPr>
          <w:rFonts w:eastAsia="MS Mincho"/>
          <w:szCs w:val="24"/>
          <w:lang w:eastAsia="x-none"/>
        </w:rPr>
        <w:t>Reno, U.S.A.</w:t>
      </w:r>
      <w:r w:rsidR="00BC10D3" w:rsidRPr="00CA6B72">
        <w:rPr>
          <w:rFonts w:eastAsia="MS Mincho"/>
          <w:szCs w:val="24"/>
          <w:lang w:eastAsia="x-none"/>
        </w:rPr>
        <w:t xml:space="preserve">, </w:t>
      </w:r>
      <w:r>
        <w:rPr>
          <w:rFonts w:eastAsia="MS Mincho"/>
          <w:szCs w:val="24"/>
          <w:lang w:eastAsia="x-none"/>
        </w:rPr>
        <w:t>Nov 18-22,</w:t>
      </w:r>
      <w:r w:rsidR="005E43A7" w:rsidRPr="00CA6B72">
        <w:rPr>
          <w:rFonts w:eastAsia="MS Mincho"/>
          <w:szCs w:val="24"/>
          <w:lang w:eastAsia="x-none"/>
        </w:rPr>
        <w:t xml:space="preserve"> 2019</w:t>
      </w:r>
      <w:r w:rsidR="00C06EF0">
        <w:rPr>
          <w:rFonts w:eastAsia="MS Mincho"/>
          <w:szCs w:val="24"/>
          <w:lang w:eastAsia="x-none"/>
        </w:rPr>
        <w:t xml:space="preserve">     </w:t>
      </w:r>
      <w:r w:rsidR="005E43A7" w:rsidRPr="00751BD7">
        <w:rPr>
          <w:rFonts w:eastAsia="MS Mincho"/>
          <w:szCs w:val="24"/>
          <w:lang w:eastAsia="x-none"/>
        </w:rPr>
        <w:tab/>
      </w:r>
      <w:r w:rsidR="00B2485F" w:rsidRPr="00BF77B1">
        <w:rPr>
          <w:rFonts w:eastAsia="MS Mincho"/>
          <w:i/>
          <w:sz w:val="22"/>
          <w:szCs w:val="24"/>
          <w:lang w:eastAsia="x-none"/>
        </w:rPr>
        <w:t xml:space="preserve">Revision of </w:t>
      </w:r>
      <w:r w:rsidR="0025253E" w:rsidRPr="00BF77B1">
        <w:rPr>
          <w:rFonts w:eastAsia="MS Mincho"/>
          <w:i/>
          <w:sz w:val="22"/>
          <w:szCs w:val="24"/>
          <w:lang w:eastAsia="x-none"/>
        </w:rPr>
        <w:t>R2-1912709</w:t>
      </w:r>
    </w:p>
    <w:p w14:paraId="2FABFE34" w14:textId="0A015007" w:rsidR="005E43A7" w:rsidRPr="005E43A7" w:rsidRDefault="005E43A7" w:rsidP="005E43A7">
      <w:pPr>
        <w:pStyle w:val="3GPPHeader"/>
        <w:jc w:val="left"/>
        <w:rPr>
          <w:rFonts w:eastAsia="MS Mincho"/>
          <w:szCs w:val="24"/>
          <w:lang w:eastAsia="x-none"/>
        </w:rPr>
      </w:pPr>
      <w:r w:rsidRPr="007730BD">
        <w:rPr>
          <w:sz w:val="22"/>
          <w:szCs w:val="22"/>
          <w:lang w:val="sv-SE"/>
        </w:rPr>
        <w:t>Agenda Item:</w:t>
      </w:r>
      <w:r w:rsidRPr="007730BD">
        <w:rPr>
          <w:sz w:val="22"/>
          <w:szCs w:val="22"/>
          <w:lang w:val="sv-SE"/>
        </w:rPr>
        <w:tab/>
      </w:r>
      <w:r w:rsidR="00BC10D3">
        <w:rPr>
          <w:sz w:val="22"/>
          <w:szCs w:val="22"/>
          <w:lang w:val="sv-SE"/>
        </w:rPr>
        <w:t>6.1.4.1</w:t>
      </w:r>
    </w:p>
    <w:p w14:paraId="7443EFE6" w14:textId="77777777" w:rsidR="005E43A7" w:rsidRPr="00CE0424" w:rsidRDefault="005E43A7" w:rsidP="005E43A7">
      <w:pPr>
        <w:pStyle w:val="3GPPHeader"/>
        <w:jc w:val="left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Intel Corporation</w:t>
      </w:r>
    </w:p>
    <w:p w14:paraId="6D5730AE" w14:textId="5EEF2188" w:rsidR="005E43A7" w:rsidRPr="00CE0424" w:rsidRDefault="005E43A7" w:rsidP="005E43A7">
      <w:pPr>
        <w:pStyle w:val="3GPPHeader"/>
        <w:jc w:val="left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E7677E">
        <w:rPr>
          <w:sz w:val="22"/>
          <w:szCs w:val="22"/>
        </w:rPr>
        <w:t>Uplink latency reduction</w:t>
      </w:r>
    </w:p>
    <w:p w14:paraId="44F3733B" w14:textId="77777777" w:rsidR="005E43A7" w:rsidRDefault="005E43A7" w:rsidP="005E43A7">
      <w:pPr>
        <w:pStyle w:val="3GPPHeader"/>
        <w:pBdr>
          <w:bottom w:val="single" w:sz="6" w:space="1" w:color="auto"/>
        </w:pBdr>
        <w:jc w:val="left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>Discussion and Decision</w:t>
      </w:r>
    </w:p>
    <w:p w14:paraId="4A986730" w14:textId="77777777" w:rsidR="00AF4FE8" w:rsidRDefault="005E43A7" w:rsidP="005E43A7">
      <w:pPr>
        <w:pStyle w:val="Heading1"/>
      </w:pPr>
      <w:r>
        <w:t>Introduction</w:t>
      </w:r>
    </w:p>
    <w:p w14:paraId="34C9561D" w14:textId="3E400CA6" w:rsidR="00B7094E" w:rsidRPr="00B7094E" w:rsidRDefault="00B7094E" w:rsidP="00B7094E">
      <w:r>
        <w:t>On the topic of uplink latency reduction for IAB, it was agreed in RAN2#107 that:</w:t>
      </w:r>
    </w:p>
    <w:p w14:paraId="16DABE4E" w14:textId="5F3AFD19" w:rsidR="00DD11E7" w:rsidRPr="00B7094E" w:rsidRDefault="00B7094E" w:rsidP="00B7094E">
      <w:pPr>
        <w:pStyle w:val="ListParagraph"/>
        <w:numPr>
          <w:ilvl w:val="0"/>
          <w:numId w:val="9"/>
        </w:numPr>
        <w:rPr>
          <w:lang w:val="en-US"/>
        </w:rPr>
      </w:pPr>
      <w:r>
        <w:rPr>
          <w:lang w:val="en-US"/>
        </w:rPr>
        <w:t>We w</w:t>
      </w:r>
      <w:r w:rsidR="00DD11E7" w:rsidRPr="00B7094E">
        <w:rPr>
          <w:lang w:val="en-US"/>
        </w:rPr>
        <w:t xml:space="preserve">ill have “preemptive” BSR. </w:t>
      </w:r>
    </w:p>
    <w:p w14:paraId="60C37294" w14:textId="56187EEB" w:rsidR="00DD11E7" w:rsidRPr="00B7094E" w:rsidRDefault="00DD11E7" w:rsidP="00B7094E">
      <w:pPr>
        <w:pStyle w:val="ListParagraph"/>
        <w:numPr>
          <w:ilvl w:val="0"/>
          <w:numId w:val="9"/>
        </w:numPr>
        <w:rPr>
          <w:lang w:val="en-US" w:eastAsia="zh-CN"/>
        </w:rPr>
      </w:pPr>
      <w:r w:rsidRPr="00B7094E">
        <w:rPr>
          <w:lang w:val="en-US" w:eastAsia="zh-CN"/>
        </w:rPr>
        <w:t>R</w:t>
      </w:r>
      <w:r w:rsidR="00B7094E">
        <w:rPr>
          <w:lang w:val="en-US" w:eastAsia="zh-CN"/>
        </w:rPr>
        <w:t>AN</w:t>
      </w:r>
      <w:r w:rsidRPr="00B7094E">
        <w:rPr>
          <w:lang w:val="en-US" w:eastAsia="zh-CN"/>
        </w:rPr>
        <w:t>2 assumes that any new triggering rules are only introduced for pre-emptive BSR, i.e. SR triggering is then governed by NR Rel-15 baseline (pre-emptive BSR = regular BSR from SR triggering point of view).</w:t>
      </w:r>
    </w:p>
    <w:p w14:paraId="62E922AE" w14:textId="57E55154" w:rsidR="00DA2EAB" w:rsidRPr="00DA2EAB" w:rsidRDefault="00DD11E7" w:rsidP="00DA2EAB">
      <w:pPr>
        <w:pStyle w:val="ListParagraph"/>
        <w:numPr>
          <w:ilvl w:val="0"/>
          <w:numId w:val="9"/>
        </w:numPr>
        <w:rPr>
          <w:lang w:val="en-US" w:eastAsia="zh-CN"/>
        </w:rPr>
      </w:pPr>
      <w:r w:rsidRPr="00DA2EAB">
        <w:rPr>
          <w:lang w:val="en-US" w:eastAsia="zh-CN"/>
        </w:rPr>
        <w:t xml:space="preserve">R2 assumes that </w:t>
      </w:r>
      <w:r w:rsidR="00B7094E" w:rsidRPr="00DA2EAB">
        <w:rPr>
          <w:lang w:val="en-US" w:eastAsia="zh-CN"/>
        </w:rPr>
        <w:t>b</w:t>
      </w:r>
      <w:r w:rsidRPr="00DA2EAB">
        <w:rPr>
          <w:lang w:val="en-US" w:eastAsia="zh-CN"/>
        </w:rPr>
        <w:t xml:space="preserve">oth types of triggers for pre-emptive BSR that were discussed (1. based on UL grants provided to child nodes and/or UEs, and 2. based on BSRs from child nodes or UEs) can be supported for IAB Rel-16 operation. FFS what details need to be </w:t>
      </w:r>
      <w:r w:rsidR="00B7094E" w:rsidRPr="00DA2EAB">
        <w:rPr>
          <w:lang w:val="en-US" w:eastAsia="zh-CN"/>
        </w:rPr>
        <w:t>specified.</w:t>
      </w:r>
    </w:p>
    <w:p w14:paraId="783195DA" w14:textId="146DA158" w:rsidR="00DA2EAB" w:rsidRDefault="00DA2EAB" w:rsidP="00DA2EAB">
      <w:pPr>
        <w:rPr>
          <w:lang w:val="en-US" w:eastAsia="zh-CN"/>
        </w:rPr>
      </w:pPr>
      <w:r>
        <w:rPr>
          <w:lang w:val="en-US" w:eastAsia="zh-CN"/>
        </w:rPr>
        <w:t>In RAN2#107bis, it was further confirmed that the expected behavior for preemptive BSR is that when a parent node receives a BSR from a child node, it can request resources from its parent node using the preemptive BSR, before actual data arrives from the child node.</w:t>
      </w:r>
    </w:p>
    <w:p w14:paraId="7B9D74A7" w14:textId="2A4AD5B2" w:rsidR="00C71ECA" w:rsidRPr="00BF77B1" w:rsidRDefault="00B7094E" w:rsidP="005E43A7">
      <w:pPr>
        <w:rPr>
          <w:lang w:val="en-US" w:eastAsia="zh-CN"/>
        </w:rPr>
      </w:pPr>
      <w:r>
        <w:t>In this contribution we address some of the open issues related to uplink latency reduction.</w:t>
      </w:r>
      <w:r w:rsidR="00DA2EAB" w:rsidRPr="00DA2EAB">
        <w:rPr>
          <w:lang w:val="en-US" w:eastAsia="zh-CN"/>
        </w:rPr>
        <w:t xml:space="preserve"> </w:t>
      </w:r>
      <w:r w:rsidR="00DA2EAB">
        <w:rPr>
          <w:lang w:val="en-US" w:eastAsia="zh-CN"/>
        </w:rPr>
        <w:t>We also consider the issue of distinguishing buffered data from expected data in the BSR. Much of the discussion on the preemptive BSR in RAN2#107bis focused on whether to distinguish buffered data from expected data in the BSR.</w:t>
      </w:r>
    </w:p>
    <w:p w14:paraId="5BDA5AC3" w14:textId="77777777" w:rsidR="005E43A7" w:rsidRDefault="005E43A7" w:rsidP="005E43A7">
      <w:pPr>
        <w:pStyle w:val="Heading1"/>
      </w:pPr>
      <w:r>
        <w:t>Discussion</w:t>
      </w:r>
    </w:p>
    <w:p w14:paraId="703682AF" w14:textId="77777777" w:rsidR="00B7094E" w:rsidRDefault="00B7094E" w:rsidP="00B7094E">
      <w:pPr>
        <w:pStyle w:val="Heading2"/>
      </w:pPr>
      <w:r>
        <w:t>Coexistence of the two types of triggers</w:t>
      </w:r>
    </w:p>
    <w:p w14:paraId="6AAF923C" w14:textId="77777777" w:rsidR="00B7094E" w:rsidRDefault="00B7094E" w:rsidP="00B7094E">
      <w:r>
        <w:fldChar w:fldCharType="begin"/>
      </w:r>
      <w:r>
        <w:instrText xml:space="preserve"> REF _Ref20418316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_Ref20421579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illustrate the transmission of pre-BSRs based on expected data. </w:t>
      </w:r>
    </w:p>
    <w:p w14:paraId="3FE91BE6" w14:textId="4A0F7FB7" w:rsidR="00B7094E" w:rsidRDefault="00B7094E" w:rsidP="00B7094E">
      <w:r>
        <w:t xml:space="preserve">In </w:t>
      </w:r>
      <w:r>
        <w:fldChar w:fldCharType="begin"/>
      </w:r>
      <w:r>
        <w:instrText xml:space="preserve"> REF _Ref20418316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IAB node 2 transmits a pre-BSR based on the BSR received from the UE. IAB node 1 transmits a pre-BSR based on the pre-BSR received from IAB node 2. </w:t>
      </w:r>
    </w:p>
    <w:p w14:paraId="4C71CC1D" w14:textId="6CE00F15" w:rsidR="00B7094E" w:rsidRDefault="00B7094E" w:rsidP="00B7094E">
      <w:r>
        <w:t xml:space="preserve">In </w:t>
      </w:r>
      <w:r>
        <w:fldChar w:fldCharType="begin"/>
      </w:r>
      <w:r>
        <w:instrText xml:space="preserve"> REF _Ref20421579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IAB node 2 transmits a pre-BSR based on the UL grant it transmitted to the UE. IAB node 1 transmits a pre-BSR based on the pre-BSR received from IAB node 2.</w:t>
      </w:r>
    </w:p>
    <w:p w14:paraId="4FA37BFA" w14:textId="7BEFE2EC" w:rsidR="00B7094E" w:rsidRPr="00B7094E" w:rsidRDefault="00B7094E" w:rsidP="00B7094E">
      <w:r>
        <w:t xml:space="preserve">It is clear that both mechanisms for triggering are needed. Triggering pre-BSR as shown in </w:t>
      </w:r>
      <w:r>
        <w:fldChar w:fldCharType="begin"/>
      </w:r>
      <w:r>
        <w:instrText xml:space="preserve"> REF _Ref20418316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is needed for general user plane data. Triggering pre-BSR as shown in </w:t>
      </w:r>
      <w:r>
        <w:fldChar w:fldCharType="begin"/>
      </w:r>
      <w:r>
        <w:instrText xml:space="preserve"> REF _Ref20421579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is needed for cases where the BSR may not be received before the data (for example, </w:t>
      </w:r>
      <w:r>
        <w:rPr>
          <w:i/>
        </w:rPr>
        <w:t>for RRC messages</w:t>
      </w:r>
      <w:r>
        <w:t>, where latency is particularly important).</w:t>
      </w:r>
    </w:p>
    <w:p w14:paraId="041D3994" w14:textId="77777777" w:rsidR="00B7094E" w:rsidRDefault="00B7094E" w:rsidP="00B7094E"/>
    <w:p w14:paraId="0A3455D2" w14:textId="77777777" w:rsidR="00B7094E" w:rsidRDefault="00B7094E" w:rsidP="00B7094E">
      <w:pPr>
        <w:keepNext/>
        <w:jc w:val="center"/>
      </w:pPr>
      <w:r>
        <w:object w:dxaOrig="10549" w:dyaOrig="4980" w14:anchorId="39764B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.2pt;height:149.4pt" o:ole="">
            <v:imagedata r:id="rId8" o:title=""/>
          </v:shape>
          <o:OLEObject Type="Embed" ProgID="Visio.Drawing.15" ShapeID="_x0000_i1025" DrawAspect="Content" ObjectID="_1634650761" r:id="rId9"/>
        </w:object>
      </w:r>
    </w:p>
    <w:p w14:paraId="53AF17EA" w14:textId="14CD0247" w:rsidR="00B7094E" w:rsidRDefault="00B7094E" w:rsidP="00B7094E">
      <w:pPr>
        <w:jc w:val="center"/>
      </w:pPr>
      <w:bookmarkStart w:id="0" w:name="_Ref2041831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</w:p>
    <w:p w14:paraId="7AB775CD" w14:textId="77777777" w:rsidR="00B7094E" w:rsidRDefault="00B7094E" w:rsidP="00B7094E">
      <w:pPr>
        <w:keepNext/>
        <w:jc w:val="center"/>
      </w:pPr>
      <w:r>
        <w:object w:dxaOrig="10549" w:dyaOrig="4980" w14:anchorId="6FA00243">
          <v:shape id="_x0000_i1026" type="#_x0000_t75" style="width:316.2pt;height:149.4pt" o:ole="">
            <v:imagedata r:id="rId10" o:title=""/>
          </v:shape>
          <o:OLEObject Type="Embed" ProgID="Visio.Drawing.15" ShapeID="_x0000_i1026" DrawAspect="Content" ObjectID="_1634650762" r:id="rId11"/>
        </w:object>
      </w:r>
    </w:p>
    <w:p w14:paraId="17607F44" w14:textId="1CF3F0AD" w:rsidR="00B7094E" w:rsidRPr="00B7094E" w:rsidRDefault="00B7094E" w:rsidP="00B7094E">
      <w:pPr>
        <w:pStyle w:val="Caption"/>
        <w:jc w:val="center"/>
      </w:pPr>
      <w:bookmarkStart w:id="1" w:name="_Ref2042157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"/>
    </w:p>
    <w:p w14:paraId="3CE18413" w14:textId="693EEA21" w:rsidR="00B7094E" w:rsidRDefault="00B7094E" w:rsidP="00BC10D3">
      <w:r>
        <w:t xml:space="preserve">Given that both triggering mechanisms are supported it is necessary to define how the two mechanisms coexist. </w:t>
      </w:r>
    </w:p>
    <w:p w14:paraId="1165FAC6" w14:textId="4344FA07" w:rsidR="00B7094E" w:rsidRPr="00B7094E" w:rsidRDefault="00B7094E" w:rsidP="00BC10D3">
      <w:pPr>
        <w:rPr>
          <w:b/>
          <w:i/>
        </w:rPr>
      </w:pPr>
      <w:r w:rsidRPr="00B7094E">
        <w:rPr>
          <w:b/>
          <w:i/>
        </w:rPr>
        <w:t xml:space="preserve">Proposal 1: If a BSR or a pre-BSR is received, an IAB node MT can trigger a pre-BSR on the basis of the received BSR or pre-BSR. </w:t>
      </w:r>
    </w:p>
    <w:p w14:paraId="4C82FF52" w14:textId="7D1EFC75" w:rsidR="00B7094E" w:rsidRPr="00B7094E" w:rsidRDefault="00B7094E" w:rsidP="00BC10D3">
      <w:pPr>
        <w:rPr>
          <w:b/>
          <w:i/>
        </w:rPr>
      </w:pPr>
      <w:r w:rsidRPr="00B7094E">
        <w:rPr>
          <w:b/>
          <w:i/>
        </w:rPr>
        <w:t>Proposal 2: If a BSR is not receiv</w:t>
      </w:r>
      <w:bookmarkStart w:id="2" w:name="_GoBack"/>
      <w:bookmarkEnd w:id="2"/>
      <w:r w:rsidRPr="00B7094E">
        <w:rPr>
          <w:b/>
          <w:i/>
        </w:rPr>
        <w:t>ed and the IAB node provides an uplink grant to a child node or a UE, it can trigger a pre-BSR on the basis of the uplink grant.</w:t>
      </w:r>
    </w:p>
    <w:p w14:paraId="1FF33566" w14:textId="7B00DB56" w:rsidR="00B7094E" w:rsidRDefault="00B7094E" w:rsidP="00BC10D3">
      <w:pPr>
        <w:rPr>
          <w:b/>
          <w:i/>
        </w:rPr>
      </w:pPr>
      <w:r>
        <w:t xml:space="preserve">In </w:t>
      </w:r>
      <w:r>
        <w:fldChar w:fldCharType="begin"/>
      </w:r>
      <w:r>
        <w:instrText xml:space="preserve"> REF _Ref20418316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, at IAB node 2, when the PDU is received, the normal UE procedure would consist of triggering a BSR. In this case however, a resource request corresponding to the PDU has already been included in the pre-BSR. Therefore, the MT of IAB node 2 should not trigger a BSR. </w:t>
      </w:r>
    </w:p>
    <w:p w14:paraId="52B79F04" w14:textId="7948F9AF" w:rsidR="00387541" w:rsidRPr="00B7094E" w:rsidRDefault="00387541" w:rsidP="00BC10D3">
      <w:pPr>
        <w:rPr>
          <w:b/>
          <w:i/>
        </w:rPr>
      </w:pPr>
      <w:r>
        <w:rPr>
          <w:b/>
          <w:i/>
        </w:rPr>
        <w:t xml:space="preserve">Proposal 3: </w:t>
      </w:r>
      <w:r w:rsidR="002507CE">
        <w:rPr>
          <w:b/>
          <w:i/>
        </w:rPr>
        <w:t xml:space="preserve">Actual data arrival corresponding to an expected data arrival event (either reception of a BSR or transmission of an UL grant) does not trigger a BSR if the expected data arrival event triggered a pre-BSR. </w:t>
      </w:r>
    </w:p>
    <w:p w14:paraId="6E7F6FDD" w14:textId="13F4DFF0" w:rsidR="00C72092" w:rsidRPr="00BF77B1" w:rsidRDefault="00AF4FE8" w:rsidP="00AF4FE8">
      <w:pPr>
        <w:pStyle w:val="Heading2"/>
      </w:pPr>
      <w:r w:rsidRPr="00DA2EAB">
        <w:t>Differentiation of buffered data from expected data</w:t>
      </w:r>
    </w:p>
    <w:p w14:paraId="32B37FB9" w14:textId="00B970E5" w:rsidR="00DA2EAB" w:rsidRPr="00BF77B1" w:rsidRDefault="00DA2EAB" w:rsidP="00DA2EAB">
      <w:r w:rsidRPr="00BF77B1">
        <w:t xml:space="preserve">At RAN2#107bis, </w:t>
      </w:r>
      <w:proofErr w:type="gramStart"/>
      <w:r w:rsidRPr="00BF77B1">
        <w:t>a majority of</w:t>
      </w:r>
      <w:proofErr w:type="gramEnd"/>
      <w:r w:rsidRPr="00BF77B1">
        <w:t xml:space="preserve"> companies proposed to distinguish buffered data from expected data. The following way forward was proposed by the chairman:</w:t>
      </w:r>
    </w:p>
    <w:p w14:paraId="06DAEBC0" w14:textId="77777777" w:rsidR="00DA2EAB" w:rsidRPr="00BF77B1" w:rsidRDefault="00DA2EAB" w:rsidP="00DA2EAB">
      <w:pPr>
        <w:pStyle w:val="ListParagraph"/>
        <w:numPr>
          <w:ilvl w:val="0"/>
          <w:numId w:val="11"/>
        </w:numPr>
        <w:rPr>
          <w:i/>
        </w:rPr>
      </w:pPr>
      <w:r w:rsidRPr="00BF77B1">
        <w:rPr>
          <w:i/>
        </w:rPr>
        <w:t>We will differentiate in BSR available data (as today) and expected data.</w:t>
      </w:r>
    </w:p>
    <w:p w14:paraId="7AAF83D6" w14:textId="634530B9" w:rsidR="00DA2EAB" w:rsidRPr="00BF77B1" w:rsidRDefault="00DA2EAB" w:rsidP="00DA2EAB">
      <w:pPr>
        <w:pStyle w:val="ListParagraph"/>
        <w:numPr>
          <w:ilvl w:val="0"/>
          <w:numId w:val="11"/>
        </w:numPr>
        <w:rPr>
          <w:i/>
        </w:rPr>
      </w:pPr>
      <w:r w:rsidRPr="00BF77B1">
        <w:rPr>
          <w:i/>
          <w:lang w:val="en-US"/>
        </w:rPr>
        <w:lastRenderedPageBreak/>
        <w:t>Associating a</w:t>
      </w:r>
      <w:r w:rsidR="003A640C">
        <w:rPr>
          <w:i/>
          <w:lang w:val="en-US"/>
        </w:rPr>
        <w:t>n</w:t>
      </w:r>
      <w:r w:rsidRPr="00BF77B1">
        <w:rPr>
          <w:i/>
          <w:lang w:val="en-US"/>
        </w:rPr>
        <w:t xml:space="preserve"> LCH with pre-emptive BSR is left to implementation, unless issues are identified requiring normative solutions.</w:t>
      </w:r>
    </w:p>
    <w:p w14:paraId="09BFE885" w14:textId="77777777" w:rsidR="00DA2EAB" w:rsidRPr="00BF77B1" w:rsidRDefault="00DA2EAB" w:rsidP="00DA2EAB">
      <w:pPr>
        <w:pStyle w:val="ListParagraph"/>
        <w:numPr>
          <w:ilvl w:val="0"/>
          <w:numId w:val="11"/>
        </w:numPr>
        <w:rPr>
          <w:i/>
        </w:rPr>
      </w:pPr>
      <w:r w:rsidRPr="00BF77B1">
        <w:rPr>
          <w:i/>
          <w:lang w:val="en-US"/>
        </w:rPr>
        <w:t>FFS if SR and BSR generated by a MAC entity need or can only be reported to the parent node where the peer of that MAC entity resides.</w:t>
      </w:r>
    </w:p>
    <w:p w14:paraId="0A819638" w14:textId="77777777" w:rsidR="00DA2EAB" w:rsidRPr="00BF77B1" w:rsidRDefault="00DA2EAB" w:rsidP="00DA2EAB">
      <w:pPr>
        <w:pStyle w:val="ListParagraph"/>
        <w:numPr>
          <w:ilvl w:val="0"/>
          <w:numId w:val="11"/>
        </w:numPr>
        <w:rPr>
          <w:i/>
        </w:rPr>
      </w:pPr>
      <w:r w:rsidRPr="00BF77B1">
        <w:rPr>
          <w:i/>
          <w:lang w:val="en-US"/>
        </w:rPr>
        <w:t xml:space="preserve">On Triggering of pre-emptive BSR, can capture some text </w:t>
      </w:r>
      <w:proofErr w:type="gramStart"/>
      <w:r w:rsidRPr="00BF77B1">
        <w:rPr>
          <w:i/>
          <w:lang w:val="en-US"/>
        </w:rPr>
        <w:t>similar to</w:t>
      </w:r>
      <w:proofErr w:type="gramEnd"/>
      <w:r w:rsidRPr="00BF77B1">
        <w:rPr>
          <w:i/>
          <w:lang w:val="en-US"/>
        </w:rPr>
        <w:t xml:space="preserve"> the current agreements, in stage-3/2.</w:t>
      </w:r>
    </w:p>
    <w:p w14:paraId="049A66D8" w14:textId="37DBE8DF" w:rsidR="00DA2EAB" w:rsidRPr="00DA2EAB" w:rsidRDefault="00DA2EAB" w:rsidP="00BF77B1">
      <w:pPr>
        <w:pStyle w:val="ListParagraph"/>
        <w:numPr>
          <w:ilvl w:val="0"/>
          <w:numId w:val="11"/>
        </w:numPr>
      </w:pPr>
      <w:r w:rsidRPr="00BF77B1">
        <w:rPr>
          <w:i/>
          <w:lang w:val="en-US"/>
        </w:rPr>
        <w:t xml:space="preserve">Exact timing </w:t>
      </w:r>
      <w:proofErr w:type="spellStart"/>
      <w:r w:rsidRPr="00BF77B1">
        <w:rPr>
          <w:i/>
          <w:lang w:val="en-US"/>
        </w:rPr>
        <w:t>etc</w:t>
      </w:r>
      <w:proofErr w:type="spellEnd"/>
      <w:r w:rsidRPr="00BF77B1">
        <w:rPr>
          <w:i/>
          <w:lang w:val="en-US"/>
        </w:rPr>
        <w:t xml:space="preserve"> is up to implementation.</w:t>
      </w:r>
      <w:r w:rsidRPr="00DA2EAB">
        <w:rPr>
          <w:lang w:val="en-US"/>
        </w:rPr>
        <w:t xml:space="preserve">  </w:t>
      </w:r>
    </w:p>
    <w:p w14:paraId="652CBB1C" w14:textId="7CBA2252" w:rsidR="00DA2EAB" w:rsidRPr="00BF77B1" w:rsidRDefault="00DA2EAB" w:rsidP="00DA2EAB">
      <w:r w:rsidRPr="00BF77B1">
        <w:t xml:space="preserve">The way forward was agreeable to all but one company. </w:t>
      </w:r>
    </w:p>
    <w:p w14:paraId="0BC3AE69" w14:textId="68F1F8DF" w:rsidR="00DA2EAB" w:rsidRPr="00BF77B1" w:rsidRDefault="00DA2EAB" w:rsidP="00DA2EAB">
      <w:r w:rsidRPr="00BF77B1">
        <w:t xml:space="preserve">It should be noted that beyond distinguishing available and expected data in the BSR, the above way forward does not specify any behaviour at IAB nodes. </w:t>
      </w:r>
      <w:proofErr w:type="gramStart"/>
      <w:r w:rsidRPr="00BF77B1">
        <w:t>In particular, details</w:t>
      </w:r>
      <w:proofErr w:type="gramEnd"/>
      <w:r w:rsidRPr="00BF77B1">
        <w:t xml:space="preserve"> of LCH association to a BSR, triggering and timing details are left to implementation. Given the implementation flexibility, we think the above way forward should be agreeable to all vendors. </w:t>
      </w:r>
    </w:p>
    <w:p w14:paraId="25E583F7" w14:textId="36D2D416" w:rsidR="00DA2EAB" w:rsidRPr="00BF77B1" w:rsidRDefault="00DA2EAB" w:rsidP="00DA2EAB">
      <w:pPr>
        <w:rPr>
          <w:b/>
          <w:i/>
        </w:rPr>
      </w:pPr>
      <w:r w:rsidRPr="00BF77B1">
        <w:rPr>
          <w:b/>
          <w:i/>
        </w:rPr>
        <w:t>Proposal 4: Buffered data can be distinguished from expected data.</w:t>
      </w:r>
    </w:p>
    <w:p w14:paraId="511F33F2" w14:textId="740BE562" w:rsidR="00DA2EAB" w:rsidRPr="00BF77B1" w:rsidRDefault="00DA2EAB" w:rsidP="00DA2EAB">
      <w:pPr>
        <w:rPr>
          <w:b/>
          <w:i/>
        </w:rPr>
      </w:pPr>
      <w:r w:rsidRPr="00BF77B1">
        <w:rPr>
          <w:b/>
          <w:i/>
        </w:rPr>
        <w:t>Proposal 5: The above way forward is agreed.</w:t>
      </w:r>
    </w:p>
    <w:p w14:paraId="152ACB43" w14:textId="6E62FD6D" w:rsidR="00AF4FE8" w:rsidRDefault="00A00D60" w:rsidP="00A00D60">
      <w:pPr>
        <w:pStyle w:val="Heading1"/>
      </w:pPr>
      <w:r>
        <w:t>Conclusion</w:t>
      </w:r>
    </w:p>
    <w:p w14:paraId="5A49873A" w14:textId="02190401" w:rsidR="00A00D60" w:rsidRDefault="009C0926" w:rsidP="00A00D60">
      <w:r>
        <w:t>In this contribution we analysed some issues related to resource request for expected data at an IAB node. The following are our proposals:</w:t>
      </w:r>
    </w:p>
    <w:p w14:paraId="0E175A9F" w14:textId="77777777" w:rsidR="009C0926" w:rsidRPr="00B7094E" w:rsidRDefault="009C0926" w:rsidP="009C0926">
      <w:pPr>
        <w:rPr>
          <w:b/>
          <w:i/>
        </w:rPr>
      </w:pPr>
      <w:r w:rsidRPr="00B7094E">
        <w:rPr>
          <w:b/>
          <w:i/>
        </w:rPr>
        <w:t xml:space="preserve">Proposal 1: If a BSR or a pre-BSR is received, an IAB node MT can trigger a pre-BSR on the basis of the received BSR or pre-BSR. </w:t>
      </w:r>
    </w:p>
    <w:p w14:paraId="30FC41A1" w14:textId="77777777" w:rsidR="009C0926" w:rsidRPr="00B7094E" w:rsidRDefault="009C0926" w:rsidP="009C0926">
      <w:pPr>
        <w:rPr>
          <w:b/>
          <w:i/>
        </w:rPr>
      </w:pPr>
      <w:r w:rsidRPr="00B7094E">
        <w:rPr>
          <w:b/>
          <w:i/>
        </w:rPr>
        <w:t>Proposal 2: If a BSR is not received and the IAB node provides an uplink grant to a child node or a UE, it can trigger a pre-BSR on the basis of the uplink grant.</w:t>
      </w:r>
    </w:p>
    <w:p w14:paraId="5D211E5D" w14:textId="0394A9E9" w:rsidR="002507CE" w:rsidRDefault="002507CE" w:rsidP="002507CE">
      <w:pPr>
        <w:rPr>
          <w:b/>
          <w:i/>
        </w:rPr>
      </w:pPr>
      <w:r>
        <w:rPr>
          <w:b/>
          <w:i/>
        </w:rPr>
        <w:t xml:space="preserve">Proposal 3: Actual data arrival corresponding to an expected data arrival event (either reception of a BSR or transmission of an UL grant) does not trigger a BSR if the expected data arrival event triggered a pre-BSR. </w:t>
      </w:r>
    </w:p>
    <w:p w14:paraId="360A3A05" w14:textId="77777777" w:rsidR="00CE50F7" w:rsidRPr="006435C8" w:rsidRDefault="00CE50F7" w:rsidP="00CE50F7">
      <w:pPr>
        <w:rPr>
          <w:b/>
          <w:i/>
        </w:rPr>
      </w:pPr>
      <w:r w:rsidRPr="006435C8">
        <w:rPr>
          <w:b/>
          <w:i/>
        </w:rPr>
        <w:t>Proposal 4: Buffered data can be distinguished from expected data.</w:t>
      </w:r>
    </w:p>
    <w:p w14:paraId="41609660" w14:textId="77777777" w:rsidR="00CE50F7" w:rsidRPr="006435C8" w:rsidRDefault="00CE50F7" w:rsidP="00CE50F7">
      <w:pPr>
        <w:rPr>
          <w:b/>
          <w:i/>
        </w:rPr>
      </w:pPr>
      <w:r w:rsidRPr="006435C8">
        <w:rPr>
          <w:b/>
          <w:i/>
        </w:rPr>
        <w:t>Proposal 5: The above way forward is agreed.</w:t>
      </w:r>
    </w:p>
    <w:p w14:paraId="79470EA8" w14:textId="77777777" w:rsidR="00CE50F7" w:rsidRPr="00B7094E" w:rsidRDefault="00CE50F7" w:rsidP="002507CE">
      <w:pPr>
        <w:rPr>
          <w:b/>
          <w:i/>
        </w:rPr>
      </w:pPr>
    </w:p>
    <w:p w14:paraId="34073A07" w14:textId="1486B89E" w:rsidR="00DA2EAB" w:rsidRPr="00DA2EAB" w:rsidRDefault="00DA2EAB" w:rsidP="00DA2EAB"/>
    <w:sectPr w:rsidR="00DA2EAB" w:rsidRPr="00DA2E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D559E"/>
    <w:multiLevelType w:val="hybridMultilevel"/>
    <w:tmpl w:val="91C814A0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B0271"/>
    <w:multiLevelType w:val="hybridMultilevel"/>
    <w:tmpl w:val="C28AAEE4"/>
    <w:lvl w:ilvl="0" w:tplc="92ECE228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81555"/>
    <w:multiLevelType w:val="hybridMultilevel"/>
    <w:tmpl w:val="2BC0C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65159D"/>
    <w:multiLevelType w:val="hybridMultilevel"/>
    <w:tmpl w:val="6B9A6292"/>
    <w:lvl w:ilvl="0" w:tplc="61788C6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524AF"/>
    <w:multiLevelType w:val="hybridMultilevel"/>
    <w:tmpl w:val="F0F8D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1B408D"/>
    <w:multiLevelType w:val="hybridMultilevel"/>
    <w:tmpl w:val="62107D88"/>
    <w:lvl w:ilvl="0" w:tplc="28BE4E2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9441D9"/>
    <w:multiLevelType w:val="hybridMultilevel"/>
    <w:tmpl w:val="67049452"/>
    <w:lvl w:ilvl="0" w:tplc="9CAACE5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E778DE"/>
    <w:multiLevelType w:val="hybridMultilevel"/>
    <w:tmpl w:val="21E0D5D6"/>
    <w:lvl w:ilvl="0" w:tplc="28BE4E2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A9599D"/>
    <w:multiLevelType w:val="hybridMultilevel"/>
    <w:tmpl w:val="4656C8D0"/>
    <w:lvl w:ilvl="0" w:tplc="17BE4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064D96"/>
    <w:multiLevelType w:val="hybridMultilevel"/>
    <w:tmpl w:val="F75640A4"/>
    <w:lvl w:ilvl="0" w:tplc="966E9EF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3"/>
  </w:num>
  <w:num w:numId="5">
    <w:abstractNumId w:val="10"/>
  </w:num>
  <w:num w:numId="6">
    <w:abstractNumId w:val="6"/>
  </w:num>
  <w:num w:numId="7">
    <w:abstractNumId w:val="0"/>
  </w:num>
  <w:num w:numId="8">
    <w:abstractNumId w:val="1"/>
  </w:num>
  <w:num w:numId="9">
    <w:abstractNumId w:val="7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3A7"/>
    <w:rsid w:val="0001771A"/>
    <w:rsid w:val="00055D7C"/>
    <w:rsid w:val="000973A9"/>
    <w:rsid w:val="000A70B6"/>
    <w:rsid w:val="001C0BA2"/>
    <w:rsid w:val="002507CE"/>
    <w:rsid w:val="0025253E"/>
    <w:rsid w:val="00297DC9"/>
    <w:rsid w:val="002A16FD"/>
    <w:rsid w:val="002A714D"/>
    <w:rsid w:val="002F327A"/>
    <w:rsid w:val="00336FCE"/>
    <w:rsid w:val="00376D47"/>
    <w:rsid w:val="00387541"/>
    <w:rsid w:val="003A640C"/>
    <w:rsid w:val="003E37E9"/>
    <w:rsid w:val="0041213F"/>
    <w:rsid w:val="00430F7C"/>
    <w:rsid w:val="00462D95"/>
    <w:rsid w:val="004A3D24"/>
    <w:rsid w:val="00500CCA"/>
    <w:rsid w:val="005364A7"/>
    <w:rsid w:val="0055044A"/>
    <w:rsid w:val="0055227E"/>
    <w:rsid w:val="005B349A"/>
    <w:rsid w:val="005E43A7"/>
    <w:rsid w:val="00623366"/>
    <w:rsid w:val="00657311"/>
    <w:rsid w:val="006B2AE5"/>
    <w:rsid w:val="006E2F45"/>
    <w:rsid w:val="0078120A"/>
    <w:rsid w:val="00793304"/>
    <w:rsid w:val="00793B90"/>
    <w:rsid w:val="007D0B7D"/>
    <w:rsid w:val="00867DF5"/>
    <w:rsid w:val="008934F7"/>
    <w:rsid w:val="0089546A"/>
    <w:rsid w:val="00895726"/>
    <w:rsid w:val="008B45BC"/>
    <w:rsid w:val="00951354"/>
    <w:rsid w:val="00982A33"/>
    <w:rsid w:val="009A3EAA"/>
    <w:rsid w:val="009A7440"/>
    <w:rsid w:val="009C0926"/>
    <w:rsid w:val="009D7305"/>
    <w:rsid w:val="00A00D60"/>
    <w:rsid w:val="00A152DA"/>
    <w:rsid w:val="00A15DF2"/>
    <w:rsid w:val="00A16C55"/>
    <w:rsid w:val="00AE0048"/>
    <w:rsid w:val="00AF307D"/>
    <w:rsid w:val="00AF4FE8"/>
    <w:rsid w:val="00B00F91"/>
    <w:rsid w:val="00B134C2"/>
    <w:rsid w:val="00B2485F"/>
    <w:rsid w:val="00B51505"/>
    <w:rsid w:val="00B5199E"/>
    <w:rsid w:val="00B7094E"/>
    <w:rsid w:val="00BC10D3"/>
    <w:rsid w:val="00BD171E"/>
    <w:rsid w:val="00BD3D78"/>
    <w:rsid w:val="00BF77B1"/>
    <w:rsid w:val="00C06AF3"/>
    <w:rsid w:val="00C06EF0"/>
    <w:rsid w:val="00C1444A"/>
    <w:rsid w:val="00C33CEB"/>
    <w:rsid w:val="00C46202"/>
    <w:rsid w:val="00C71ECA"/>
    <w:rsid w:val="00C72092"/>
    <w:rsid w:val="00C912D3"/>
    <w:rsid w:val="00CA5365"/>
    <w:rsid w:val="00CA6B72"/>
    <w:rsid w:val="00CE50F7"/>
    <w:rsid w:val="00CF25DB"/>
    <w:rsid w:val="00D528A9"/>
    <w:rsid w:val="00DA2EAB"/>
    <w:rsid w:val="00DA6E05"/>
    <w:rsid w:val="00DD11E7"/>
    <w:rsid w:val="00DD2A32"/>
    <w:rsid w:val="00DD6275"/>
    <w:rsid w:val="00DF6BB6"/>
    <w:rsid w:val="00E42E5A"/>
    <w:rsid w:val="00E47BA9"/>
    <w:rsid w:val="00E51C6E"/>
    <w:rsid w:val="00E7677E"/>
    <w:rsid w:val="00E837ED"/>
    <w:rsid w:val="00EE61FA"/>
    <w:rsid w:val="00F4145D"/>
    <w:rsid w:val="00FC6DB9"/>
    <w:rsid w:val="00FF4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1B445"/>
  <w15:chartTrackingRefBased/>
  <w15:docId w15:val="{CD2A1922-38F0-4B56-89EF-C0D621394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43A7"/>
    <w:pPr>
      <w:jc w:val="both"/>
    </w:pPr>
    <w:rPr>
      <w:rFonts w:ascii="Calibri" w:hAnsi="Calibri" w:cs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E43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E43A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E43A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eastAsia="Times New Roman" w:hAnsi="Arial"/>
      <w:b/>
      <w:sz w:val="24"/>
      <w:szCs w:val="20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5E43A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customStyle="1" w:styleId="Agreement">
    <w:name w:val="Agreement"/>
    <w:basedOn w:val="Normal"/>
    <w:next w:val="Normal"/>
    <w:rsid w:val="005E43A7"/>
    <w:pPr>
      <w:numPr>
        <w:numId w:val="1"/>
      </w:numPr>
      <w:spacing w:before="60" w:after="0" w:line="240" w:lineRule="auto"/>
      <w:jc w:val="left"/>
    </w:pPr>
    <w:rPr>
      <w:rFonts w:ascii="Arial" w:eastAsia="MS Mincho" w:hAnsi="Arial"/>
      <w:b/>
      <w:sz w:val="20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5E43A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E43A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C912D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055D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364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64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64A7"/>
    <w:rPr>
      <w:rFonts w:ascii="Calibri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64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64A7"/>
    <w:rPr>
      <w:rFonts w:ascii="Calibri" w:hAnsi="Calibri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4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4A7"/>
    <w:rPr>
      <w:rFonts w:ascii="Segoe UI" w:hAnsi="Segoe UI" w:cs="Segoe UI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DA2EAB"/>
    <w:pPr>
      <w:tabs>
        <w:tab w:val="left" w:pos="1622"/>
      </w:tabs>
      <w:spacing w:after="0" w:line="240" w:lineRule="auto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qFormat/>
    <w:rsid w:val="00DA2EAB"/>
    <w:rPr>
      <w:rFonts w:ascii="Arial" w:eastAsia="MS Mincho" w:hAnsi="Arial" w:cs="Times New Roman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24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.vsdx"/><Relationship Id="rId5" Type="http://schemas.openxmlformats.org/officeDocument/2006/relationships/styles" Target="styles.xml"/><Relationship Id="rId10" Type="http://schemas.openxmlformats.org/officeDocument/2006/relationships/image" Target="media/image2.emf"/><Relationship Id="rId4" Type="http://schemas.openxmlformats.org/officeDocument/2006/relationships/numbering" Target="numbering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7" ma:contentTypeDescription="Create a new document." ma:contentTypeScope="" ma:versionID="e264d3dea6b7428939b003180c18c13f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75374da9d1561ee4a07d8bab9337534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79431A-BFB9-4858-A530-03649B6F37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A5E285-AACF-4EE1-A5C7-224B31634FFE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3.xml><?xml version="1.0" encoding="utf-8"?>
<ds:datastoreItem xmlns:ds="http://schemas.openxmlformats.org/officeDocument/2006/customXml" ds:itemID="{FB0DA937-89E4-4BD3-B713-A956B988D8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893</Words>
  <Characters>4227</Characters>
  <Application>Microsoft Office Word</Application>
  <DocSecurity>0</DocSecurity>
  <Lines>81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(Murali Narasimha)</dc:creator>
  <cp:keywords>CTPClassification=CTP_NT</cp:keywords>
  <dc:description/>
  <cp:lastModifiedBy>Intel (Murali Narasimha)</cp:lastModifiedBy>
  <cp:revision>3</cp:revision>
  <dcterms:created xsi:type="dcterms:W3CDTF">2019-11-08T00:51:00Z</dcterms:created>
  <dcterms:modified xsi:type="dcterms:W3CDTF">2019-11-08T00:53:00Z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a772ad87-c792-440c-865a-35b91c5cee25</vt:lpwstr>
  </property>
  <property fmtid="{D5CDD505-2E9C-101B-9397-08002B2CF9AE}" pid="3" name="CTP_TimeStamp">
    <vt:lpwstr>2019-11-08 00:53:20Z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0x010100C3355BB4B7850E44A83DAD8AF6CF14B0</vt:lpwstr>
  </property>
  <property fmtid="{D5CDD505-2E9C-101B-9397-08002B2CF9AE}" pid="8" name="CTPClassification">
    <vt:lpwstr>CTP_NT</vt:lpwstr>
  </property>
</Properties>
</file>